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C629" w14:textId="386175B7" w:rsidR="00A67893" w:rsidRDefault="00A67893" w:rsidP="0020628B"/>
    <w:p w14:paraId="5C82DEDB" w14:textId="78D83224" w:rsidR="0002197E" w:rsidRPr="00407DDF" w:rsidRDefault="00407DDF" w:rsidP="00407DDF">
      <w:pPr>
        <w:pStyle w:val="Heading1"/>
        <w:spacing w:before="240" w:after="240"/>
        <w:rPr>
          <w:sz w:val="40"/>
          <w:szCs w:val="40"/>
        </w:rPr>
      </w:pPr>
      <w:r w:rsidRPr="00407DDF">
        <w:rPr>
          <w:sz w:val="40"/>
          <w:szCs w:val="40"/>
        </w:rPr>
        <w:t>Open Rank Faculty Position (Job 121746)</w:t>
      </w:r>
    </w:p>
    <w:p w14:paraId="435FDD8E" w14:textId="6F8B1432" w:rsidR="0002197E" w:rsidRPr="00407DDF" w:rsidRDefault="0002197E" w:rsidP="00BA6897">
      <w:pPr>
        <w:autoSpaceDE w:val="0"/>
        <w:autoSpaceDN w:val="0"/>
        <w:adjustRightInd w:val="0"/>
        <w:ind w:left="180"/>
        <w:rPr>
          <w:rFonts w:ascii="Roboto-Regular" w:hAnsi="Roboto-Regular" w:cs="Roboto-Regular"/>
          <w:b/>
          <w:bCs/>
          <w:color w:val="333333"/>
        </w:rPr>
      </w:pPr>
      <w:r w:rsidRPr="0002197E">
        <w:rPr>
          <w:rFonts w:ascii="Roboto-Regular" w:hAnsi="Roboto-Regular" w:cs="Roboto-Regular"/>
          <w:b/>
          <w:bCs/>
          <w:color w:val="333333"/>
        </w:rPr>
        <w:t>Position Title</w:t>
      </w:r>
      <w:r w:rsidR="00407DDF">
        <w:rPr>
          <w:rFonts w:ascii="Roboto-Regular" w:hAnsi="Roboto-Regular" w:cs="Roboto-Regular"/>
          <w:b/>
          <w:bCs/>
          <w:color w:val="333333"/>
        </w:rPr>
        <w:t xml:space="preserve">: </w:t>
      </w:r>
      <w:r>
        <w:rPr>
          <w:rFonts w:ascii="Roboto-Regular" w:hAnsi="Roboto-Regular" w:cs="Roboto-Regular"/>
          <w:color w:val="333333"/>
        </w:rPr>
        <w:t>Tenured/Tenure-Track: Open Rank</w:t>
      </w:r>
    </w:p>
    <w:p w14:paraId="16554F18" w14:textId="084363A2" w:rsidR="0002197E" w:rsidRPr="00407DDF" w:rsidRDefault="0002197E" w:rsidP="00BA6897">
      <w:pPr>
        <w:autoSpaceDE w:val="0"/>
        <w:autoSpaceDN w:val="0"/>
        <w:adjustRightInd w:val="0"/>
        <w:ind w:left="180"/>
        <w:rPr>
          <w:rFonts w:ascii="Roboto-Regular" w:hAnsi="Roboto-Regular" w:cs="Roboto-Regular"/>
          <w:b/>
          <w:bCs/>
          <w:color w:val="333333"/>
        </w:rPr>
      </w:pPr>
      <w:r w:rsidRPr="0002197E">
        <w:rPr>
          <w:rFonts w:ascii="Roboto-Regular" w:hAnsi="Roboto-Regular" w:cs="Roboto-Regular"/>
          <w:b/>
          <w:bCs/>
          <w:color w:val="333333"/>
        </w:rPr>
        <w:t>Location</w:t>
      </w:r>
      <w:r w:rsidR="00407DDF">
        <w:rPr>
          <w:rFonts w:ascii="Roboto-Regular" w:hAnsi="Roboto-Regular" w:cs="Roboto-Regular"/>
          <w:b/>
          <w:bCs/>
          <w:color w:val="333333"/>
        </w:rPr>
        <w:t xml:space="preserve">: </w:t>
      </w:r>
      <w:r>
        <w:rPr>
          <w:rFonts w:ascii="Roboto-Regular" w:hAnsi="Roboto-Regular" w:cs="Roboto-Regular"/>
          <w:color w:val="333333"/>
        </w:rPr>
        <w:t>College Station, TX</w:t>
      </w:r>
    </w:p>
    <w:p w14:paraId="4F905E9B" w14:textId="6411DF8D" w:rsidR="0002197E" w:rsidRPr="00407DDF" w:rsidRDefault="0002197E" w:rsidP="00BA6897">
      <w:pPr>
        <w:autoSpaceDE w:val="0"/>
        <w:autoSpaceDN w:val="0"/>
        <w:adjustRightInd w:val="0"/>
        <w:ind w:left="180"/>
        <w:rPr>
          <w:rFonts w:ascii="Roboto-Regular" w:hAnsi="Roboto-Regular" w:cs="Roboto-Regular"/>
          <w:b/>
          <w:bCs/>
          <w:color w:val="333333"/>
        </w:rPr>
      </w:pPr>
      <w:r w:rsidRPr="0002197E">
        <w:rPr>
          <w:rFonts w:ascii="Roboto-Regular" w:hAnsi="Roboto-Regular" w:cs="Roboto-Regular"/>
          <w:b/>
          <w:bCs/>
          <w:color w:val="333333"/>
        </w:rPr>
        <w:t>Position Type</w:t>
      </w:r>
      <w:r w:rsidR="00407DDF">
        <w:rPr>
          <w:rFonts w:ascii="Roboto-Regular" w:hAnsi="Roboto-Regular" w:cs="Roboto-Regular"/>
          <w:b/>
          <w:bCs/>
          <w:color w:val="333333"/>
        </w:rPr>
        <w:t xml:space="preserve">: </w:t>
      </w:r>
      <w:r>
        <w:rPr>
          <w:rFonts w:ascii="Roboto-Regular" w:hAnsi="Roboto-Regular" w:cs="Roboto-Regular"/>
          <w:color w:val="333333"/>
        </w:rPr>
        <w:t>Tenure-Track or Tenure Review Upon Hire (either)</w:t>
      </w:r>
    </w:p>
    <w:p w14:paraId="0089C521" w14:textId="698367CE" w:rsidR="0002197E" w:rsidRDefault="0002197E" w:rsidP="00BA6897">
      <w:pPr>
        <w:autoSpaceDE w:val="0"/>
        <w:autoSpaceDN w:val="0"/>
        <w:adjustRightInd w:val="0"/>
        <w:ind w:left="180"/>
        <w:rPr>
          <w:rStyle w:val="Hyperlink"/>
          <w:rFonts w:ascii="Roboto Medium" w:hAnsi="Roboto Medium" w:cs="Cambria"/>
        </w:rPr>
      </w:pPr>
      <w:r w:rsidRPr="0002197E">
        <w:rPr>
          <w:rFonts w:ascii="Roboto-Regular" w:hAnsi="Roboto-Regular" w:cs="Roboto-Regular"/>
          <w:b/>
          <w:bCs/>
          <w:color w:val="333333"/>
        </w:rPr>
        <w:t>Position URL</w:t>
      </w:r>
      <w:r w:rsidR="00407DDF">
        <w:rPr>
          <w:rFonts w:ascii="Roboto-Regular" w:hAnsi="Roboto-Regular" w:cs="Roboto-Regular"/>
          <w:b/>
          <w:bCs/>
          <w:color w:val="333333"/>
        </w:rPr>
        <w:t xml:space="preserve">: </w:t>
      </w:r>
      <w:hyperlink r:id="rId8" w:history="1">
        <w:r w:rsidRPr="00EE369A">
          <w:rPr>
            <w:rStyle w:val="Hyperlink"/>
            <w:rFonts w:ascii="Roboto Medium" w:hAnsi="Roboto Medium" w:cs="Cambria"/>
          </w:rPr>
          <w:t>apply.interfolio.com/121746</w:t>
        </w:r>
      </w:hyperlink>
    </w:p>
    <w:p w14:paraId="798B1457" w14:textId="5793E5F2" w:rsidR="007C2BC9" w:rsidRPr="007C2BC9" w:rsidRDefault="007C2BC9" w:rsidP="00BA6897">
      <w:pPr>
        <w:autoSpaceDE w:val="0"/>
        <w:autoSpaceDN w:val="0"/>
        <w:adjustRightInd w:val="0"/>
        <w:ind w:left="180"/>
        <w:rPr>
          <w:rFonts w:ascii="Roboto-Regular" w:hAnsi="Roboto-Regular" w:cs="Roboto-Regular"/>
          <w:b/>
          <w:bCs/>
          <w:color w:val="000000" w:themeColor="text1"/>
        </w:rPr>
      </w:pPr>
      <w:r w:rsidRPr="007C2BC9">
        <w:rPr>
          <w:rFonts w:ascii="Roboto-Regular" w:hAnsi="Roboto-Regular" w:cs="Roboto-Regular"/>
          <w:b/>
          <w:bCs/>
          <w:color w:val="000000" w:themeColor="text1"/>
        </w:rPr>
        <w:t>Review of applications</w:t>
      </w:r>
      <w:r w:rsidRPr="007C2BC9">
        <w:rPr>
          <w:rFonts w:ascii="Roboto-Regular" w:hAnsi="Roboto-Regular" w:cs="Roboto-Regular"/>
          <w:b/>
          <w:bCs/>
          <w:color w:val="000000" w:themeColor="text1"/>
        </w:rPr>
        <w:t>:</w:t>
      </w:r>
      <w:r w:rsidRPr="007C2BC9">
        <w:rPr>
          <w:rFonts w:ascii="Roboto-Regular" w:hAnsi="Roboto-Regular" w:cs="Roboto-Regular"/>
          <w:color w:val="000000" w:themeColor="text1"/>
        </w:rPr>
        <w:t xml:space="preserve"> </w:t>
      </w:r>
      <w:r w:rsidRPr="007C2BC9">
        <w:rPr>
          <w:rFonts w:ascii="Roboto-Regular" w:hAnsi="Roboto-Regular" w:cs="Roboto-Regular"/>
          <w:color w:val="000000" w:themeColor="text1"/>
        </w:rPr>
        <w:t>W</w:t>
      </w:r>
      <w:r w:rsidRPr="007C2BC9">
        <w:rPr>
          <w:rFonts w:ascii="Roboto-Regular" w:hAnsi="Roboto-Regular" w:cs="Roboto-Regular"/>
          <w:color w:val="000000" w:themeColor="text1"/>
        </w:rPr>
        <w:t>ill begin on or around August 15, 2023</w:t>
      </w:r>
    </w:p>
    <w:p w14:paraId="3B85902D" w14:textId="77777777" w:rsidR="0002197E" w:rsidRDefault="0002197E" w:rsidP="0002197E">
      <w:pPr>
        <w:autoSpaceDE w:val="0"/>
        <w:autoSpaceDN w:val="0"/>
        <w:adjustRightInd w:val="0"/>
        <w:rPr>
          <w:rFonts w:ascii="Cambria" w:hAnsi="Cambria" w:cs="Cambria"/>
          <w:color w:val="2577A7"/>
        </w:rPr>
      </w:pPr>
    </w:p>
    <w:p w14:paraId="405C3604" w14:textId="77777777" w:rsidR="0002197E" w:rsidRPr="0002197E" w:rsidRDefault="0002197E" w:rsidP="00BA6897">
      <w:pPr>
        <w:autoSpaceDE w:val="0"/>
        <w:autoSpaceDN w:val="0"/>
        <w:adjustRightInd w:val="0"/>
        <w:spacing w:before="120" w:after="120"/>
        <w:rPr>
          <w:rFonts w:ascii="Roboto-Regular" w:hAnsi="Roboto-Regular" w:cs="Roboto-Regular"/>
          <w:b/>
          <w:bCs/>
          <w:color w:val="333333"/>
        </w:rPr>
      </w:pPr>
      <w:r w:rsidRPr="0002197E">
        <w:rPr>
          <w:rFonts w:ascii="Roboto-Regular" w:hAnsi="Roboto-Regular" w:cs="Roboto-Regular"/>
          <w:b/>
          <w:bCs/>
          <w:color w:val="333333"/>
        </w:rPr>
        <w:t>Position Description</w:t>
      </w:r>
    </w:p>
    <w:p w14:paraId="3F5569F4" w14:textId="60CFCB2D" w:rsidR="0002197E" w:rsidRPr="00407DDF" w:rsidRDefault="0002197E" w:rsidP="0002197E">
      <w:pPr>
        <w:autoSpaceDE w:val="0"/>
        <w:autoSpaceDN w:val="0"/>
        <w:adjustRightInd w:val="0"/>
        <w:rPr>
          <w:rFonts w:ascii="Roboto-Regular" w:hAnsi="Roboto-Regular" w:cs="Roboto-Regular"/>
          <w:color w:val="333333"/>
          <w:sz w:val="22"/>
          <w:szCs w:val="22"/>
        </w:rPr>
      </w:pPr>
      <w:r w:rsidRPr="00407DDF">
        <w:rPr>
          <w:rFonts w:ascii="Roboto-Regular" w:hAnsi="Roboto-Regular" w:cs="Roboto-Regular"/>
          <w:color w:val="333333"/>
          <w:sz w:val="22"/>
          <w:szCs w:val="22"/>
        </w:rPr>
        <w:t>The Department of Agricultural Leadership, Education, and Communications (ALEC),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College of Agriculture and Life Sciences at Texas A&amp;M University invites applications</w:t>
      </w:r>
      <w:r w:rsidR="00EC594F" w:rsidRPr="00407DDF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for a tenured/tenure-track position from colleagues in the social sciences with a robust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research program relevant to the agricultural and life sciences to join a community of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interdisciplinary faculty, researchers and graduate students. We are interested in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applicants with a doctoral degree in the social sciences, including sociology,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demography, geography, anthropology, psychology or others, whose work contributes to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 xml:space="preserve">scholarship in agriculture, food, natural resources, and human sciences. This is a </w:t>
      </w:r>
      <w:r w:rsidR="00EC594F" w:rsidRPr="00407DDF">
        <w:rPr>
          <w:rFonts w:ascii="Roboto-Regular" w:hAnsi="Roboto-Regular" w:cs="Roboto-Regular"/>
          <w:color w:val="333333"/>
          <w:sz w:val="22"/>
          <w:szCs w:val="22"/>
        </w:rPr>
        <w:t>full-time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,</w:t>
      </w:r>
      <w:r w:rsidR="008A2BAD" w:rsidRPr="00407DDF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open rank, tenure-track or tenured 9-month academic appointment beginning</w:t>
      </w:r>
      <w:r w:rsidR="00EC594F" w:rsidRPr="00407DDF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August 1, 2023, or as negotiated. We seek applicants for a faculty title of assistant</w:t>
      </w:r>
      <w:r w:rsidR="00EC594F" w:rsidRPr="00407DDF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 xml:space="preserve">professor, associate professor, or professor. The position will be </w:t>
      </w:r>
      <w:r w:rsidR="008A2BAD" w:rsidRPr="00407DDF">
        <w:rPr>
          <w:rFonts w:ascii="Roboto-Regular" w:hAnsi="Roboto-Regular" w:cs="Roboto-Regular"/>
          <w:color w:val="333333"/>
          <w:sz w:val="22"/>
          <w:szCs w:val="22"/>
        </w:rPr>
        <w:t>a 50% research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, 40%</w:t>
      </w:r>
      <w:r w:rsidR="00BA6897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teaching, and 10% service appointment.</w:t>
      </w:r>
    </w:p>
    <w:p w14:paraId="46324A55" w14:textId="77777777" w:rsidR="008A2BAD" w:rsidRPr="00407DDF" w:rsidRDefault="008A2BAD" w:rsidP="0002197E">
      <w:pPr>
        <w:autoSpaceDE w:val="0"/>
        <w:autoSpaceDN w:val="0"/>
        <w:adjustRightInd w:val="0"/>
        <w:rPr>
          <w:rFonts w:ascii="Roboto-Regular" w:hAnsi="Roboto-Regular" w:cs="Roboto-Regular"/>
          <w:color w:val="333333"/>
          <w:sz w:val="22"/>
          <w:szCs w:val="22"/>
        </w:rPr>
      </w:pPr>
    </w:p>
    <w:p w14:paraId="4ACE9446" w14:textId="77777777" w:rsidR="0002197E" w:rsidRPr="00407DDF" w:rsidRDefault="0002197E" w:rsidP="007C2BC9">
      <w:pPr>
        <w:autoSpaceDE w:val="0"/>
        <w:autoSpaceDN w:val="0"/>
        <w:adjustRightInd w:val="0"/>
        <w:spacing w:after="120"/>
        <w:rPr>
          <w:rFonts w:ascii="Roboto-Regular" w:hAnsi="Roboto-Regular" w:cs="Roboto-Regular"/>
          <w:color w:val="333333"/>
          <w:sz w:val="22"/>
          <w:szCs w:val="22"/>
        </w:rPr>
      </w:pPr>
      <w:r w:rsidRPr="00407DDF">
        <w:rPr>
          <w:rFonts w:ascii="Roboto-Regular" w:hAnsi="Roboto-Regular" w:cs="Roboto-Regular"/>
          <w:color w:val="333333"/>
          <w:sz w:val="22"/>
          <w:szCs w:val="22"/>
        </w:rPr>
        <w:t>The successful candidate will:</w:t>
      </w:r>
    </w:p>
    <w:p w14:paraId="05C32E0F" w14:textId="5D8092D4" w:rsidR="0002197E" w:rsidRPr="00407DDF" w:rsidRDefault="0002197E" w:rsidP="008A2BA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Roboto-Regular" w:hAnsi="Roboto-Regular" w:cs="Roboto-Regular"/>
          <w:color w:val="333333"/>
        </w:rPr>
      </w:pPr>
      <w:r w:rsidRPr="00407DDF">
        <w:rPr>
          <w:rFonts w:ascii="Roboto-Regular" w:hAnsi="Roboto-Regular" w:cs="Roboto-Regular"/>
          <w:color w:val="333333"/>
        </w:rPr>
        <w:t>Contribute to ALEC’s research initiatives through a robust translational and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  <w:r w:rsidRPr="00407DDF">
        <w:rPr>
          <w:rFonts w:ascii="Roboto-Regular" w:hAnsi="Roboto-Regular" w:cs="Roboto-Regular"/>
          <w:color w:val="333333"/>
        </w:rPr>
        <w:t>transformational research agenda and the pursuit of external federal funding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  <w:r w:rsidRPr="00407DDF">
        <w:rPr>
          <w:rFonts w:ascii="Roboto-Regular" w:hAnsi="Roboto-Regular" w:cs="Roboto-Regular"/>
          <w:color w:val="333333"/>
        </w:rPr>
        <w:t>opportunities;</w:t>
      </w:r>
    </w:p>
    <w:p w14:paraId="25F65559" w14:textId="11B4D9B1" w:rsidR="0002197E" w:rsidRPr="00407DDF" w:rsidRDefault="0002197E" w:rsidP="008A2BA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Roboto-Regular" w:hAnsi="Roboto-Regular" w:cs="Roboto-Regular"/>
          <w:color w:val="333333"/>
        </w:rPr>
      </w:pPr>
      <w:r w:rsidRPr="00407DDF">
        <w:rPr>
          <w:rFonts w:ascii="Roboto-Regular" w:hAnsi="Roboto-Regular" w:cs="Roboto-Regular"/>
          <w:color w:val="333333"/>
        </w:rPr>
        <w:t>Work with transdisciplinary teams to maintain a systematic and persistent inquiry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  <w:r w:rsidRPr="00407DDF">
        <w:rPr>
          <w:rFonts w:ascii="Roboto-Regular" w:hAnsi="Roboto-Regular" w:cs="Roboto-Regular"/>
          <w:color w:val="333333"/>
        </w:rPr>
        <w:t>line that will contribute to advancing the food, agriculture, natural resources,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  <w:r w:rsidRPr="00407DDF">
        <w:rPr>
          <w:rFonts w:ascii="Roboto-Regular" w:hAnsi="Roboto-Regular" w:cs="Roboto-Regular"/>
          <w:color w:val="333333"/>
        </w:rPr>
        <w:t>and/or human (FANH) sciences;</w:t>
      </w:r>
    </w:p>
    <w:p w14:paraId="7131E57B" w14:textId="14FE00DD" w:rsidR="0002197E" w:rsidRPr="00407DDF" w:rsidRDefault="0002197E" w:rsidP="008A2BA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Roboto-Regular" w:hAnsi="Roboto-Regular" w:cs="Roboto-Regular"/>
          <w:color w:val="333333"/>
        </w:rPr>
      </w:pPr>
      <w:r w:rsidRPr="00407DDF">
        <w:rPr>
          <w:rFonts w:ascii="Roboto-Regular" w:hAnsi="Roboto-Regular" w:cs="Roboto-Regular"/>
          <w:color w:val="333333"/>
        </w:rPr>
        <w:t>Collaborate with transdisciplinary teams of scholars across the Texas A&amp;M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  <w:r w:rsidRPr="00407DDF">
        <w:rPr>
          <w:rFonts w:ascii="Roboto-Regular" w:hAnsi="Roboto-Regular" w:cs="Roboto-Regular"/>
          <w:color w:val="333333"/>
        </w:rPr>
        <w:t>University System and higher education institutions around the world and can take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  <w:r w:rsidRPr="00407DDF">
        <w:rPr>
          <w:rFonts w:ascii="Roboto-Regular" w:hAnsi="Roboto-Regular" w:cs="Roboto-Regular"/>
          <w:color w:val="333333"/>
        </w:rPr>
        <w:t>advantage of special resources such as the Texas Data Research Center</w:t>
      </w:r>
      <w:r w:rsidR="008A2BAD" w:rsidRPr="00407DDF">
        <w:rPr>
          <w:rFonts w:ascii="Roboto-Regular" w:hAnsi="Roboto-Regular" w:cs="Roboto-Regular"/>
          <w:color w:val="333333"/>
        </w:rPr>
        <w:t xml:space="preserve"> (</w:t>
      </w:r>
      <w:hyperlink r:id="rId9" w:history="1">
        <w:r w:rsidRPr="00407DDF">
          <w:rPr>
            <w:rStyle w:val="Hyperlink"/>
            <w:rFonts w:ascii="Roboto Medium" w:hAnsi="Roboto Medium" w:cs="Cambria"/>
          </w:rPr>
          <w:t>https://liberalarts.tamu.edu/txrdc/</w:t>
        </w:r>
      </w:hyperlink>
      <w:r w:rsidRPr="00407DDF">
        <w:rPr>
          <w:rFonts w:ascii="Roboto-Regular" w:hAnsi="Roboto-Regular" w:cs="Roboto-Regular"/>
          <w:color w:val="333333"/>
        </w:rPr>
        <w:t>), the Norman Borlaug Institute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  <w:r w:rsidRPr="00407DDF">
        <w:rPr>
          <w:rFonts w:ascii="Roboto-Regular" w:hAnsi="Roboto-Regular" w:cs="Roboto-Regular"/>
          <w:color w:val="333333"/>
        </w:rPr>
        <w:t>(</w:t>
      </w:r>
      <w:hyperlink r:id="rId10" w:history="1">
        <w:r w:rsidRPr="00407DDF">
          <w:rPr>
            <w:rStyle w:val="Hyperlink"/>
            <w:rFonts w:ascii="Roboto Medium" w:hAnsi="Roboto Medium" w:cs="Cambria"/>
          </w:rPr>
          <w:t>https://borlaug.tamu.edu</w:t>
        </w:r>
      </w:hyperlink>
      <w:r w:rsidRPr="00407DDF">
        <w:rPr>
          <w:rFonts w:ascii="Roboto-Regular" w:hAnsi="Roboto-Regular" w:cs="Roboto-Regular"/>
          <w:color w:val="333333"/>
        </w:rPr>
        <w:t>), or The Institute for Advancing Health Through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  <w:r w:rsidRPr="00407DDF">
        <w:rPr>
          <w:rFonts w:ascii="Roboto-Regular" w:hAnsi="Roboto-Regular" w:cs="Roboto-Regular"/>
          <w:color w:val="333333"/>
        </w:rPr>
        <w:t>Agriculture (</w:t>
      </w:r>
      <w:hyperlink r:id="rId11" w:history="1">
        <w:r w:rsidR="008A2BAD" w:rsidRPr="00407DDF">
          <w:rPr>
            <w:rStyle w:val="Hyperlink"/>
            <w:rFonts w:ascii="Roboto Medium" w:hAnsi="Roboto Medium" w:cs="Cambria"/>
          </w:rPr>
          <w:t>https://iha.tamu.edu/</w:t>
        </w:r>
      </w:hyperlink>
      <w:r w:rsidRPr="00407DDF">
        <w:rPr>
          <w:rFonts w:ascii="Roboto-Regular" w:hAnsi="Roboto-Regular" w:cs="Roboto-Regular"/>
          <w:color w:val="333333"/>
        </w:rPr>
        <w:t>);</w:t>
      </w:r>
    </w:p>
    <w:p w14:paraId="0DEDD15D" w14:textId="1EBF17F8" w:rsidR="0002197E" w:rsidRPr="00407DDF" w:rsidRDefault="0002197E" w:rsidP="008A2BA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Roboto-Regular" w:hAnsi="Roboto-Regular" w:cs="Roboto-Regular"/>
          <w:color w:val="333333"/>
        </w:rPr>
      </w:pPr>
      <w:r w:rsidRPr="00407DDF">
        <w:rPr>
          <w:rFonts w:ascii="Roboto-Regular" w:hAnsi="Roboto-Regular" w:cs="Roboto-Regular"/>
          <w:color w:val="333333"/>
        </w:rPr>
        <w:t>Teach graduate and undergraduate courses in your area of expertise and interact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  <w:r w:rsidRPr="00407DDF">
        <w:rPr>
          <w:rFonts w:ascii="Roboto-Regular" w:hAnsi="Roboto-Regular" w:cs="Roboto-Regular"/>
          <w:color w:val="333333"/>
        </w:rPr>
        <w:t>with all students and faculty; Engage industry professionals in identifying cutting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  <w:r w:rsidRPr="00407DDF">
        <w:rPr>
          <w:rFonts w:ascii="Roboto-Regular" w:hAnsi="Roboto-Regular" w:cs="Roboto-Regular"/>
          <w:color w:val="333333"/>
        </w:rPr>
        <w:t>edge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  <w:r w:rsidRPr="00407DDF">
        <w:rPr>
          <w:rFonts w:ascii="Roboto-Regular" w:hAnsi="Roboto-Regular" w:cs="Roboto-Regular"/>
          <w:color w:val="333333"/>
        </w:rPr>
        <w:t>course content;</w:t>
      </w:r>
    </w:p>
    <w:p w14:paraId="54262138" w14:textId="03C6A6BB" w:rsidR="0002197E" w:rsidRPr="00407DDF" w:rsidRDefault="0002197E" w:rsidP="008A2BA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Roboto-Regular" w:hAnsi="Roboto-Regular" w:cs="Roboto-Regular"/>
          <w:color w:val="333333"/>
        </w:rPr>
      </w:pPr>
      <w:r w:rsidRPr="00407DDF">
        <w:rPr>
          <w:rFonts w:ascii="Roboto-Regular" w:hAnsi="Roboto-Regular" w:cs="Roboto-Regular"/>
          <w:color w:val="333333"/>
        </w:rPr>
        <w:t>Participate in university, college, and department activities and service; Participate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  <w:r w:rsidRPr="00407DDF">
        <w:rPr>
          <w:rFonts w:ascii="Roboto-Regular" w:hAnsi="Roboto-Regular" w:cs="Roboto-Regular"/>
          <w:color w:val="333333"/>
        </w:rPr>
        <w:t>in scientific and professional organizations by actively promoting research outputs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  <w:r w:rsidRPr="00407DDF">
        <w:rPr>
          <w:rFonts w:ascii="Roboto-Regular" w:hAnsi="Roboto-Regular" w:cs="Roboto-Regular"/>
          <w:color w:val="333333"/>
        </w:rPr>
        <w:t>and establishing meaningful connections to broader communities.</w:t>
      </w:r>
    </w:p>
    <w:p w14:paraId="0D494B7A" w14:textId="77777777" w:rsidR="008A2BAD" w:rsidRPr="00407DDF" w:rsidRDefault="008A2BAD" w:rsidP="0002197E">
      <w:pPr>
        <w:autoSpaceDE w:val="0"/>
        <w:autoSpaceDN w:val="0"/>
        <w:adjustRightInd w:val="0"/>
        <w:rPr>
          <w:rFonts w:ascii="Roboto-Regular" w:hAnsi="Roboto-Regular" w:cs="Roboto-Regular"/>
          <w:color w:val="333333"/>
          <w:sz w:val="22"/>
          <w:szCs w:val="22"/>
        </w:rPr>
      </w:pPr>
    </w:p>
    <w:p w14:paraId="2D3F0000" w14:textId="23C81B3C" w:rsidR="0002197E" w:rsidRPr="00407DDF" w:rsidRDefault="0002197E" w:rsidP="0002197E">
      <w:pPr>
        <w:autoSpaceDE w:val="0"/>
        <w:autoSpaceDN w:val="0"/>
        <w:adjustRightInd w:val="0"/>
        <w:rPr>
          <w:rFonts w:ascii="Roboto-Regular" w:hAnsi="Roboto-Regular" w:cs="Roboto-Regular"/>
          <w:color w:val="333333"/>
          <w:sz w:val="22"/>
          <w:szCs w:val="22"/>
        </w:rPr>
      </w:pPr>
      <w:r w:rsidRPr="00407DDF">
        <w:rPr>
          <w:rFonts w:ascii="Roboto-Regular" w:hAnsi="Roboto-Regular" w:cs="Roboto-Regular"/>
          <w:color w:val="333333"/>
          <w:sz w:val="22"/>
          <w:szCs w:val="22"/>
        </w:rPr>
        <w:t>The department has approximately 700 undergraduate students in three majors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(Agricultural Communications and Journalism, Agricultural Leadership and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Development, and Agricultural Science) and five minors (Agricultural Communications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and Journalism, Extension Education, International Development, Leadership Studies,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and Youth Development), and 100 ALEC graduate students in four graduate degrees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(Master of Agriculture, Master of Applied Youth Development, Master of Science [Thesis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or Non-thesis], and Doctor of Philosophy). Information about ALEC is available</w:t>
      </w:r>
      <w:r w:rsidR="00C5512F" w:rsidRPr="00407DDF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 xml:space="preserve">at </w:t>
      </w:r>
      <w:hyperlink r:id="rId12" w:history="1">
        <w:r w:rsidR="008A2BAD" w:rsidRPr="00407DDF">
          <w:rPr>
            <w:rStyle w:val="Hyperlink"/>
            <w:rFonts w:ascii="Roboto Medium" w:hAnsi="Roboto Medium" w:cs="Cambria"/>
            <w:sz w:val="22"/>
            <w:szCs w:val="22"/>
          </w:rPr>
          <w:t>https://alec.tamu.edu/</w:t>
        </w:r>
      </w:hyperlink>
      <w:r w:rsidRPr="00407DDF">
        <w:rPr>
          <w:rFonts w:ascii="Roboto-Regular" w:hAnsi="Roboto-Regular" w:cs="Roboto-Regular"/>
          <w:color w:val="333333"/>
          <w:sz w:val="22"/>
          <w:szCs w:val="22"/>
        </w:rPr>
        <w:t>.</w:t>
      </w:r>
    </w:p>
    <w:p w14:paraId="367EE86A" w14:textId="77777777" w:rsidR="008A2BAD" w:rsidRPr="00407DDF" w:rsidRDefault="008A2BAD" w:rsidP="0002197E">
      <w:pPr>
        <w:autoSpaceDE w:val="0"/>
        <w:autoSpaceDN w:val="0"/>
        <w:adjustRightInd w:val="0"/>
        <w:rPr>
          <w:rFonts w:ascii="Roboto-Regular" w:hAnsi="Roboto-Regular" w:cs="Roboto-Regular"/>
          <w:color w:val="333333"/>
          <w:sz w:val="22"/>
          <w:szCs w:val="22"/>
        </w:rPr>
      </w:pPr>
    </w:p>
    <w:p w14:paraId="64EFD62A" w14:textId="77777777" w:rsidR="0002197E" w:rsidRPr="008A2BAD" w:rsidRDefault="0002197E" w:rsidP="00BA6897">
      <w:pPr>
        <w:autoSpaceDE w:val="0"/>
        <w:autoSpaceDN w:val="0"/>
        <w:adjustRightInd w:val="0"/>
        <w:spacing w:before="120" w:after="120"/>
        <w:rPr>
          <w:rFonts w:ascii="Roboto-Regular" w:hAnsi="Roboto-Regular" w:cs="Roboto-Regular"/>
          <w:b/>
          <w:bCs/>
          <w:color w:val="333333"/>
        </w:rPr>
      </w:pPr>
      <w:r w:rsidRPr="008A2BAD">
        <w:rPr>
          <w:rFonts w:ascii="Roboto-Regular" w:hAnsi="Roboto-Regular" w:cs="Roboto-Regular"/>
          <w:b/>
          <w:bCs/>
          <w:color w:val="333333"/>
        </w:rPr>
        <w:t>Qualifications</w:t>
      </w:r>
    </w:p>
    <w:p w14:paraId="315C23FB" w14:textId="43550BCA" w:rsidR="0002197E" w:rsidRPr="00407DDF" w:rsidRDefault="0002197E" w:rsidP="007C2BC9">
      <w:pPr>
        <w:autoSpaceDE w:val="0"/>
        <w:autoSpaceDN w:val="0"/>
        <w:adjustRightInd w:val="0"/>
        <w:rPr>
          <w:rFonts w:ascii="Roboto-Regular" w:hAnsi="Roboto-Regular" w:cs="Roboto-Regular"/>
          <w:color w:val="333333"/>
          <w:sz w:val="22"/>
          <w:szCs w:val="22"/>
        </w:rPr>
      </w:pPr>
      <w:r w:rsidRPr="00407DDF">
        <w:rPr>
          <w:rFonts w:ascii="Roboto-Regular" w:hAnsi="Roboto-Regular" w:cs="Roboto-Regular"/>
          <w:color w:val="333333"/>
          <w:sz w:val="22"/>
          <w:szCs w:val="22"/>
        </w:rPr>
        <w:t>Applicants must have an earned doctorate in an appropriate core knowledge area with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demonstrated capability to develop funded, rigorous, and high-impact research and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teaching programs. Applicants must have a demonstrated ability to obtain competitive</w:t>
      </w:r>
      <w:r w:rsidR="00C5512F" w:rsidRPr="00407DDF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research funding and to translate and apply research to societal grand challenges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relevant to agricultural and life sciences.</w:t>
      </w:r>
    </w:p>
    <w:p w14:paraId="54A3F553" w14:textId="3107479F" w:rsidR="0002197E" w:rsidRPr="00407DDF" w:rsidRDefault="0002197E" w:rsidP="0002197E">
      <w:pPr>
        <w:rPr>
          <w:rFonts w:ascii="Roboto-Regular" w:hAnsi="Roboto-Regular" w:cs="Roboto-Regular"/>
          <w:color w:val="333333"/>
          <w:sz w:val="22"/>
          <w:szCs w:val="22"/>
        </w:rPr>
      </w:pPr>
    </w:p>
    <w:p w14:paraId="3D7FC22E" w14:textId="77777777" w:rsidR="0002197E" w:rsidRPr="008A2BAD" w:rsidRDefault="0002197E" w:rsidP="00BA6897">
      <w:pPr>
        <w:autoSpaceDE w:val="0"/>
        <w:autoSpaceDN w:val="0"/>
        <w:adjustRightInd w:val="0"/>
        <w:spacing w:before="120" w:after="120"/>
        <w:rPr>
          <w:rFonts w:ascii="Roboto-Regular" w:hAnsi="Roboto-Regular" w:cs="Roboto-Regular"/>
          <w:b/>
          <w:bCs/>
          <w:color w:val="333333"/>
        </w:rPr>
      </w:pPr>
      <w:r w:rsidRPr="008A2BAD">
        <w:rPr>
          <w:rFonts w:ascii="Roboto-Regular" w:hAnsi="Roboto-Regular" w:cs="Roboto-Regular"/>
          <w:b/>
          <w:bCs/>
          <w:color w:val="333333"/>
        </w:rPr>
        <w:t>Applicants must submit:</w:t>
      </w:r>
    </w:p>
    <w:p w14:paraId="34E8422B" w14:textId="50AD8165" w:rsidR="0002197E" w:rsidRPr="00407DDF" w:rsidRDefault="0002197E" w:rsidP="008A2BA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Roboto-Regular" w:hAnsi="Roboto-Regular" w:cs="Roboto-Regular"/>
          <w:color w:val="333333"/>
        </w:rPr>
      </w:pPr>
      <w:r w:rsidRPr="00407DDF">
        <w:rPr>
          <w:rFonts w:ascii="Roboto-Regular" w:hAnsi="Roboto-Regular" w:cs="Roboto-Regular"/>
          <w:color w:val="333333"/>
        </w:rPr>
        <w:t>A cover letter describing interests, qualifications, unique skills, perspectives, and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  <w:r w:rsidRPr="00407DDF">
        <w:rPr>
          <w:rFonts w:ascii="Roboto-Regular" w:hAnsi="Roboto-Regular" w:cs="Roboto-Regular"/>
          <w:color w:val="333333"/>
        </w:rPr>
        <w:t>programmatic areas that will contribute to ALEC’s scholarly activities in research,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  <w:r w:rsidRPr="00407DDF">
        <w:rPr>
          <w:rFonts w:ascii="Roboto-Regular" w:hAnsi="Roboto-Regular" w:cs="Roboto-Regular"/>
          <w:color w:val="333333"/>
        </w:rPr>
        <w:t>teaching, and service;</w:t>
      </w:r>
    </w:p>
    <w:p w14:paraId="4D3F2EE8" w14:textId="4AE8EB0D" w:rsidR="0002197E" w:rsidRPr="00407DDF" w:rsidRDefault="0002197E" w:rsidP="008A2BA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Roboto-Regular" w:hAnsi="Roboto-Regular" w:cs="Roboto-Regular"/>
          <w:color w:val="333333"/>
        </w:rPr>
      </w:pPr>
      <w:r w:rsidRPr="00407DDF">
        <w:rPr>
          <w:rFonts w:ascii="Roboto-Regular" w:hAnsi="Roboto-Regular" w:cs="Roboto-Regular"/>
          <w:color w:val="333333"/>
        </w:rPr>
        <w:t>An up-to-date, detailed curriculum vitae;</w:t>
      </w:r>
    </w:p>
    <w:p w14:paraId="2B09B36F" w14:textId="3FCD8698" w:rsidR="0002197E" w:rsidRPr="00407DDF" w:rsidRDefault="0002197E" w:rsidP="008A2BA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Roboto-Regular" w:hAnsi="Roboto-Regular" w:cs="Roboto-Regular"/>
          <w:color w:val="333333"/>
        </w:rPr>
      </w:pPr>
      <w:r w:rsidRPr="00407DDF">
        <w:rPr>
          <w:rFonts w:ascii="Roboto-Regular" w:hAnsi="Roboto-Regular" w:cs="Roboto-Regular"/>
          <w:color w:val="333333"/>
        </w:rPr>
        <w:t>A personal statement of your philosophy and plans for research, teaching, and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  <w:r w:rsidRPr="00407DDF">
        <w:rPr>
          <w:rFonts w:ascii="Roboto-Regular" w:hAnsi="Roboto-Regular" w:cs="Roboto-Regular"/>
          <w:color w:val="333333"/>
        </w:rPr>
        <w:t>service impacts (maximum three pages); and</w:t>
      </w:r>
    </w:p>
    <w:p w14:paraId="2E3579E0" w14:textId="0DBA3511" w:rsidR="0002197E" w:rsidRPr="00407DDF" w:rsidRDefault="0002197E" w:rsidP="008A2BA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Roboto-Regular" w:hAnsi="Roboto-Regular" w:cs="Roboto-Regular"/>
          <w:color w:val="333333"/>
        </w:rPr>
      </w:pPr>
      <w:r w:rsidRPr="00407DDF">
        <w:rPr>
          <w:rFonts w:ascii="Roboto-Regular" w:hAnsi="Roboto-Regular" w:cs="Roboto-Regular"/>
          <w:color w:val="333333"/>
        </w:rPr>
        <w:t>A list of names and contact information of five references.</w:t>
      </w:r>
      <w:r w:rsidR="008A2BAD" w:rsidRPr="00407DDF">
        <w:rPr>
          <w:rFonts w:ascii="Roboto-Regular" w:hAnsi="Roboto-Regular" w:cs="Roboto-Regular"/>
          <w:color w:val="333333"/>
        </w:rPr>
        <w:t xml:space="preserve"> </w:t>
      </w:r>
    </w:p>
    <w:p w14:paraId="1621F83C" w14:textId="40E0F819" w:rsidR="0002197E" w:rsidRPr="00407DDF" w:rsidRDefault="0002197E" w:rsidP="0002197E">
      <w:pPr>
        <w:autoSpaceDE w:val="0"/>
        <w:autoSpaceDN w:val="0"/>
        <w:adjustRightInd w:val="0"/>
        <w:rPr>
          <w:rFonts w:ascii="Roboto-Regular" w:hAnsi="Roboto-Regular" w:cs="Roboto-Regular"/>
          <w:color w:val="333333"/>
          <w:sz w:val="22"/>
          <w:szCs w:val="22"/>
        </w:rPr>
      </w:pPr>
      <w:r w:rsidRPr="00407DDF">
        <w:rPr>
          <w:rFonts w:ascii="Roboto-Regular" w:hAnsi="Roboto-Regular" w:cs="Roboto-Regular"/>
          <w:color w:val="333333"/>
          <w:sz w:val="22"/>
          <w:szCs w:val="22"/>
        </w:rPr>
        <w:t xml:space="preserve">The application materials must be submitted online at </w:t>
      </w:r>
      <w:hyperlink r:id="rId13" w:history="1">
        <w:r w:rsidRPr="00407DDF">
          <w:rPr>
            <w:rStyle w:val="Hyperlink"/>
            <w:rFonts w:ascii="Roboto Medium" w:hAnsi="Roboto Medium" w:cs="Cambria"/>
            <w:sz w:val="22"/>
            <w:szCs w:val="22"/>
          </w:rPr>
          <w:t>apply.interfolio.com/121746</w:t>
        </w:r>
      </w:hyperlink>
      <w:r w:rsidRPr="00407DDF">
        <w:rPr>
          <w:rFonts w:ascii="Roboto-Regular" w:hAnsi="Roboto-Regular" w:cs="Roboto-Regular"/>
          <w:color w:val="333333"/>
          <w:sz w:val="22"/>
          <w:szCs w:val="22"/>
        </w:rPr>
        <w:t>.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7C2BC9">
        <w:rPr>
          <w:rFonts w:ascii="Roboto-Regular" w:hAnsi="Roboto-Regular" w:cs="Roboto-Regular"/>
          <w:color w:val="000000" w:themeColor="text1"/>
          <w:sz w:val="22"/>
          <w:szCs w:val="22"/>
        </w:rPr>
        <w:t xml:space="preserve">Review of applications will begin on or around </w:t>
      </w:r>
      <w:r w:rsidR="007C2BC9" w:rsidRPr="007C2BC9">
        <w:rPr>
          <w:rFonts w:ascii="Roboto-Regular" w:hAnsi="Roboto-Regular" w:cs="Roboto-Regular"/>
          <w:color w:val="000000" w:themeColor="text1"/>
          <w:sz w:val="22"/>
          <w:szCs w:val="22"/>
        </w:rPr>
        <w:t>August</w:t>
      </w:r>
      <w:r w:rsidRPr="007C2BC9">
        <w:rPr>
          <w:rFonts w:ascii="Roboto-Regular" w:hAnsi="Roboto-Regular" w:cs="Roboto-Regular"/>
          <w:color w:val="000000" w:themeColor="text1"/>
          <w:sz w:val="22"/>
          <w:szCs w:val="22"/>
        </w:rPr>
        <w:t xml:space="preserve"> 1</w:t>
      </w:r>
      <w:r w:rsidR="007C2BC9" w:rsidRPr="007C2BC9">
        <w:rPr>
          <w:rFonts w:ascii="Roboto-Regular" w:hAnsi="Roboto-Regular" w:cs="Roboto-Regular"/>
          <w:color w:val="000000" w:themeColor="text1"/>
          <w:sz w:val="22"/>
          <w:szCs w:val="22"/>
        </w:rPr>
        <w:t>5</w:t>
      </w:r>
      <w:r w:rsidRPr="007C2BC9">
        <w:rPr>
          <w:rFonts w:ascii="Roboto-Regular" w:hAnsi="Roboto-Regular" w:cs="Roboto-Regular"/>
          <w:color w:val="000000" w:themeColor="text1"/>
          <w:sz w:val="22"/>
          <w:szCs w:val="22"/>
        </w:rPr>
        <w:t xml:space="preserve">, 2023.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Please direct any questions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regarding the position to Theresa Murphrey, Ph.D. (</w:t>
      </w:r>
      <w:hyperlink r:id="rId14" w:history="1">
        <w:r w:rsidRPr="00407DDF">
          <w:rPr>
            <w:rStyle w:val="Hyperlink"/>
            <w:rFonts w:ascii="Roboto Medium" w:hAnsi="Roboto Medium" w:cs="Cambria"/>
            <w:sz w:val="22"/>
            <w:szCs w:val="22"/>
          </w:rPr>
          <w:t>Theresa.murphrey@ag.tamu.edu</w:t>
        </w:r>
      </w:hyperlink>
      <w:r w:rsidRPr="00407DDF">
        <w:rPr>
          <w:rFonts w:ascii="Roboto-Regular" w:hAnsi="Roboto-Regular" w:cs="Roboto-Regular"/>
          <w:color w:val="333333"/>
          <w:sz w:val="22"/>
          <w:szCs w:val="22"/>
        </w:rPr>
        <w:t>) or</w:t>
      </w:r>
      <w:r w:rsidR="007C2BC9">
        <w:rPr>
          <w:rFonts w:ascii="Roboto-Regular" w:hAnsi="Roboto-Regular" w:cs="Roboto-Regular"/>
          <w:color w:val="333333"/>
          <w:sz w:val="22"/>
          <w:szCs w:val="22"/>
        </w:rPr>
        <w:t xml:space="preserve"> </w:t>
      </w:r>
      <w:r w:rsidRPr="00407DDF">
        <w:rPr>
          <w:rFonts w:ascii="Roboto-Regular" w:hAnsi="Roboto-Regular" w:cs="Roboto-Regular"/>
          <w:color w:val="333333"/>
          <w:sz w:val="22"/>
          <w:szCs w:val="22"/>
        </w:rPr>
        <w:t>Bruce Herbert, Ph.D., (</w:t>
      </w:r>
      <w:hyperlink r:id="rId15" w:history="1">
        <w:r w:rsidR="005D4A54" w:rsidRPr="00407DDF">
          <w:rPr>
            <w:rStyle w:val="Hyperlink"/>
            <w:rFonts w:ascii="Roboto Medium" w:hAnsi="Roboto Medium" w:cs="Cambria"/>
            <w:sz w:val="22"/>
            <w:szCs w:val="22"/>
          </w:rPr>
          <w:t>Bruce.Herbert@ag.tamu.edu</w:t>
        </w:r>
      </w:hyperlink>
      <w:r w:rsidRPr="00407DDF">
        <w:rPr>
          <w:rFonts w:ascii="Roboto-Regular" w:hAnsi="Roboto-Regular" w:cs="Roboto-Regular"/>
          <w:color w:val="333333"/>
          <w:sz w:val="22"/>
          <w:szCs w:val="22"/>
        </w:rPr>
        <w:t>).</w:t>
      </w:r>
    </w:p>
    <w:p w14:paraId="0004ED60" w14:textId="77777777" w:rsidR="005D4A54" w:rsidRPr="00407DDF" w:rsidRDefault="005D4A54" w:rsidP="0002197E">
      <w:pPr>
        <w:autoSpaceDE w:val="0"/>
        <w:autoSpaceDN w:val="0"/>
        <w:adjustRightInd w:val="0"/>
        <w:rPr>
          <w:rFonts w:ascii="Roboto-Regular" w:hAnsi="Roboto-Regular" w:cs="Roboto-Regular"/>
          <w:color w:val="333333"/>
          <w:sz w:val="22"/>
          <w:szCs w:val="22"/>
        </w:rPr>
      </w:pPr>
    </w:p>
    <w:p w14:paraId="303CD27D" w14:textId="77777777" w:rsidR="0002197E" w:rsidRPr="00407DDF" w:rsidRDefault="0002197E" w:rsidP="0002197E">
      <w:pPr>
        <w:autoSpaceDE w:val="0"/>
        <w:autoSpaceDN w:val="0"/>
        <w:adjustRightInd w:val="0"/>
        <w:rPr>
          <w:rFonts w:ascii="Roboto-Regular" w:hAnsi="Roboto-Regular" w:cs="Roboto-Regular"/>
          <w:color w:val="333333"/>
          <w:sz w:val="22"/>
          <w:szCs w:val="22"/>
        </w:rPr>
      </w:pPr>
      <w:r w:rsidRPr="00407DDF">
        <w:rPr>
          <w:rFonts w:ascii="Roboto-Regular" w:hAnsi="Roboto-Regular" w:cs="Roboto-Regular"/>
          <w:color w:val="333333"/>
          <w:sz w:val="22"/>
          <w:szCs w:val="22"/>
        </w:rPr>
        <w:t>Equal Employment Opportunity Statement</w:t>
      </w:r>
    </w:p>
    <w:p w14:paraId="7F5369C3" w14:textId="4C92BB5D" w:rsidR="0002197E" w:rsidRPr="007C2BC9" w:rsidRDefault="0002197E" w:rsidP="007C2BC9">
      <w:pPr>
        <w:autoSpaceDE w:val="0"/>
        <w:autoSpaceDN w:val="0"/>
        <w:adjustRightInd w:val="0"/>
        <w:rPr>
          <w:rFonts w:ascii="Roboto-Italic" w:hAnsi="Roboto-Italic" w:cs="Roboto-Italic"/>
          <w:i/>
          <w:iCs/>
          <w:color w:val="333333"/>
          <w:sz w:val="22"/>
          <w:szCs w:val="22"/>
        </w:rPr>
      </w:pPr>
      <w:r w:rsidRPr="00407DDF">
        <w:rPr>
          <w:rFonts w:ascii="Roboto-Italic" w:hAnsi="Roboto-Italic" w:cs="Roboto-Italic"/>
          <w:i/>
          <w:iCs/>
          <w:color w:val="333333"/>
          <w:sz w:val="22"/>
          <w:szCs w:val="22"/>
        </w:rPr>
        <w:t>Equal Opportunity/Affirmative Action/Veterans/Disability Employer committed to</w:t>
      </w:r>
      <w:r w:rsidR="007C2BC9">
        <w:rPr>
          <w:rFonts w:ascii="Roboto-Italic" w:hAnsi="Roboto-Italic" w:cs="Roboto-Italic"/>
          <w:i/>
          <w:iCs/>
          <w:color w:val="333333"/>
          <w:sz w:val="22"/>
          <w:szCs w:val="22"/>
        </w:rPr>
        <w:t xml:space="preserve"> </w:t>
      </w:r>
      <w:r w:rsidRPr="00407DDF">
        <w:rPr>
          <w:rFonts w:ascii="Roboto-Italic" w:hAnsi="Roboto-Italic" w:cs="Roboto-Italic"/>
          <w:i/>
          <w:iCs/>
          <w:color w:val="333333"/>
          <w:sz w:val="22"/>
          <w:szCs w:val="22"/>
        </w:rPr>
        <w:t>diversity.</w:t>
      </w:r>
    </w:p>
    <w:p w14:paraId="12A3A91E" w14:textId="1F78FF66" w:rsidR="0020628B" w:rsidRPr="00407DDF" w:rsidRDefault="0020628B" w:rsidP="0020628B">
      <w:pPr>
        <w:rPr>
          <w:sz w:val="22"/>
          <w:szCs w:val="22"/>
        </w:rPr>
      </w:pPr>
    </w:p>
    <w:sectPr w:rsidR="0020628B" w:rsidRPr="00407DDF" w:rsidSect="0020628B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2149" w14:textId="77777777" w:rsidR="00B8463D" w:rsidRDefault="00B8463D">
      <w:r>
        <w:separator/>
      </w:r>
    </w:p>
  </w:endnote>
  <w:endnote w:type="continuationSeparator" w:id="0">
    <w:p w14:paraId="1F2BE0EC" w14:textId="77777777" w:rsidR="00B8463D" w:rsidRDefault="00B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Roboto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-Italic">
    <w:altName w:val="Roboto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A238" w14:textId="77777777" w:rsidR="00585EA2" w:rsidRDefault="00585EA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D0D0D"/>
      </w:rPr>
    </w:pPr>
  </w:p>
  <w:p w14:paraId="41021ABB" w14:textId="77777777" w:rsidR="00585EA2" w:rsidRDefault="00585EA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8532" w14:textId="77777777" w:rsidR="00585EA2" w:rsidRDefault="00585EA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170" w:type="dxa"/>
      <w:tblInd w:w="-3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152"/>
      <w:gridCol w:w="5018"/>
    </w:tblGrid>
    <w:tr w:rsidR="00585EA2" w14:paraId="67ADEBE5" w14:textId="77777777">
      <w:trPr>
        <w:trHeight w:val="633"/>
      </w:trPr>
      <w:tc>
        <w:tcPr>
          <w:tcW w:w="5152" w:type="dxa"/>
        </w:tcPr>
        <w:p w14:paraId="397295D2" w14:textId="77777777" w:rsidR="00585EA2" w:rsidRDefault="007121C5">
          <w:pPr>
            <w:rPr>
              <w:rFonts w:ascii="Arial" w:eastAsia="Arial" w:hAnsi="Arial" w:cs="Arial"/>
              <w:color w:val="A6A6A6"/>
              <w:sz w:val="16"/>
              <w:szCs w:val="16"/>
            </w:rPr>
          </w:pPr>
          <w:r>
            <w:rPr>
              <w:rFonts w:ascii="Arial" w:eastAsia="Arial" w:hAnsi="Arial" w:cs="Arial"/>
              <w:color w:val="A6A6A6"/>
              <w:sz w:val="16"/>
              <w:szCs w:val="16"/>
            </w:rPr>
            <w:t>600 John Kimbrough Boulevard</w:t>
          </w:r>
          <w:r>
            <w:rPr>
              <w:rFonts w:ascii="Arial" w:eastAsia="Arial" w:hAnsi="Arial" w:cs="Arial"/>
              <w:color w:val="A6A6A6"/>
              <w:sz w:val="16"/>
              <w:szCs w:val="16"/>
            </w:rPr>
            <w:tab/>
          </w:r>
          <w:r>
            <w:rPr>
              <w:rFonts w:ascii="Arial" w:eastAsia="Arial" w:hAnsi="Arial" w:cs="Arial"/>
              <w:color w:val="A6A6A6"/>
              <w:sz w:val="16"/>
              <w:szCs w:val="16"/>
            </w:rPr>
            <w:tab/>
          </w:r>
          <w:r>
            <w:rPr>
              <w:rFonts w:ascii="Arial" w:eastAsia="Arial" w:hAnsi="Arial" w:cs="Arial"/>
              <w:color w:val="A6A6A6"/>
              <w:sz w:val="16"/>
              <w:szCs w:val="16"/>
            </w:rPr>
            <w:tab/>
          </w:r>
        </w:p>
        <w:p w14:paraId="7BEA7E24" w14:textId="77777777" w:rsidR="00585EA2" w:rsidRDefault="007121C5">
          <w:pPr>
            <w:rPr>
              <w:rFonts w:ascii="Arial" w:eastAsia="Arial" w:hAnsi="Arial" w:cs="Arial"/>
              <w:color w:val="A6A6A6"/>
              <w:sz w:val="16"/>
              <w:szCs w:val="16"/>
            </w:rPr>
          </w:pPr>
          <w:r>
            <w:rPr>
              <w:rFonts w:ascii="Arial" w:eastAsia="Arial" w:hAnsi="Arial" w:cs="Arial"/>
              <w:color w:val="A6A6A6"/>
              <w:sz w:val="16"/>
              <w:szCs w:val="16"/>
            </w:rPr>
            <w:t>2116 TAMU</w:t>
          </w:r>
        </w:p>
        <w:p w14:paraId="6DF617A6" w14:textId="77777777" w:rsidR="00585EA2" w:rsidRDefault="007121C5">
          <w:pPr>
            <w:rPr>
              <w:rFonts w:ascii="Arial" w:eastAsia="Arial" w:hAnsi="Arial" w:cs="Arial"/>
              <w:color w:val="A6A6A6"/>
              <w:sz w:val="16"/>
              <w:szCs w:val="16"/>
            </w:rPr>
          </w:pPr>
          <w:r>
            <w:rPr>
              <w:rFonts w:ascii="Arial" w:eastAsia="Arial" w:hAnsi="Arial" w:cs="Arial"/>
              <w:color w:val="A6A6A6"/>
              <w:sz w:val="16"/>
              <w:szCs w:val="16"/>
            </w:rPr>
            <w:t>College Station, TX 77843-2116</w:t>
          </w:r>
        </w:p>
      </w:tc>
      <w:tc>
        <w:tcPr>
          <w:tcW w:w="5018" w:type="dxa"/>
        </w:tcPr>
        <w:p w14:paraId="14F61CCA" w14:textId="77777777" w:rsidR="00585EA2" w:rsidRDefault="007121C5">
          <w:pPr>
            <w:jc w:val="right"/>
            <w:rPr>
              <w:rFonts w:ascii="Arial" w:eastAsia="Arial" w:hAnsi="Arial" w:cs="Arial"/>
              <w:color w:val="A6A6A6"/>
              <w:sz w:val="16"/>
              <w:szCs w:val="16"/>
            </w:rPr>
          </w:pPr>
          <w:r>
            <w:rPr>
              <w:rFonts w:ascii="Arial" w:eastAsia="Arial" w:hAnsi="Arial" w:cs="Arial"/>
              <w:color w:val="A6A6A6"/>
              <w:sz w:val="16"/>
              <w:szCs w:val="16"/>
            </w:rPr>
            <w:t>Tel. 979.845.2951  Fax 979.862.7190</w:t>
          </w:r>
        </w:p>
        <w:p w14:paraId="40BB30FF" w14:textId="77777777" w:rsidR="00585EA2" w:rsidRDefault="00000000">
          <w:pPr>
            <w:jc w:val="right"/>
            <w:rPr>
              <w:color w:val="A6A6A6"/>
            </w:rPr>
          </w:pPr>
          <w:hyperlink r:id="rId1">
            <w:r w:rsidR="007121C5">
              <w:rPr>
                <w:rFonts w:ascii="Arial" w:eastAsia="Arial" w:hAnsi="Arial" w:cs="Arial"/>
                <w:color w:val="A6A6A6"/>
                <w:sz w:val="16"/>
                <w:szCs w:val="16"/>
              </w:rPr>
              <w:t>https://alec.tamu.edu</w:t>
            </w:r>
          </w:hyperlink>
        </w:p>
        <w:p w14:paraId="685388A4" w14:textId="77777777" w:rsidR="00585EA2" w:rsidRDefault="00585EA2">
          <w:pPr>
            <w:jc w:val="right"/>
            <w:rPr>
              <w:color w:val="A6A6A6"/>
            </w:rPr>
          </w:pPr>
        </w:p>
      </w:tc>
    </w:tr>
  </w:tbl>
  <w:p w14:paraId="163F94C0" w14:textId="77777777" w:rsidR="00585EA2" w:rsidRDefault="00585EA2">
    <w:pPr>
      <w:rPr>
        <w:rFonts w:ascii="Arial" w:eastAsia="Arial" w:hAnsi="Arial" w:cs="Arial"/>
        <w:color w:val="767171"/>
        <w:sz w:val="16"/>
        <w:szCs w:val="16"/>
      </w:rPr>
    </w:pPr>
  </w:p>
  <w:p w14:paraId="203A3416" w14:textId="77777777" w:rsidR="00585EA2" w:rsidRDefault="00585EA2">
    <w:pPr>
      <w:rPr>
        <w:rFonts w:ascii="Arial" w:eastAsia="Arial" w:hAnsi="Arial" w:cs="Arial"/>
        <w:color w:val="76717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F676" w14:textId="77777777" w:rsidR="00B8463D" w:rsidRDefault="00B8463D">
      <w:r>
        <w:separator/>
      </w:r>
    </w:p>
  </w:footnote>
  <w:footnote w:type="continuationSeparator" w:id="0">
    <w:p w14:paraId="7F08435C" w14:textId="77777777" w:rsidR="00B8463D" w:rsidRDefault="00B8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4D10" w14:textId="49DBFCD1" w:rsidR="00585EA2" w:rsidRDefault="0011065D">
    <w:pPr>
      <w:tabs>
        <w:tab w:val="left" w:pos="3240"/>
      </w:tabs>
      <w:ind w:right="1872"/>
      <w:rPr>
        <w:rFonts w:ascii="Arial" w:eastAsia="Arial" w:hAnsi="Arial" w:cs="Arial"/>
        <w:sz w:val="18"/>
        <w:szCs w:val="18"/>
      </w:rPr>
    </w:pPr>
    <w:r>
      <w:rPr>
        <w:noProof/>
        <w:sz w:val="18"/>
        <w:szCs w:val="20"/>
      </w:rPr>
      <w:drawing>
        <wp:anchor distT="0" distB="0" distL="114300" distR="114300" simplePos="0" relativeHeight="251664384" behindDoc="0" locked="0" layoutInCell="1" allowOverlap="1" wp14:anchorId="2CCC91CC" wp14:editId="4474A49D">
          <wp:simplePos x="0" y="0"/>
          <wp:positionH relativeFrom="column">
            <wp:posOffset>4467225</wp:posOffset>
          </wp:positionH>
          <wp:positionV relativeFrom="paragraph">
            <wp:posOffset>-47625</wp:posOffset>
          </wp:positionV>
          <wp:extent cx="1704975" cy="647700"/>
          <wp:effectExtent l="0" t="0" r="9525" b="0"/>
          <wp:wrapThrough wrapText="bothSides">
            <wp:wrapPolygon edited="0">
              <wp:start x="0" y="0"/>
              <wp:lineTo x="0" y="20965"/>
              <wp:lineTo x="21479" y="20965"/>
              <wp:lineTo x="21479" y="0"/>
              <wp:lineTo x="0" y="0"/>
            </wp:wrapPolygon>
          </wp:wrapThrough>
          <wp:docPr id="206" name="Picture 2" descr="AG-lockup-primary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-lockup-primary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20EB">
      <w:rPr>
        <w:noProof/>
      </w:rPr>
      <w:drawing>
        <wp:anchor distT="0" distB="0" distL="114300" distR="114300" simplePos="0" relativeHeight="251660288" behindDoc="0" locked="0" layoutInCell="1" hidden="0" allowOverlap="1" wp14:anchorId="1FC487EB" wp14:editId="06417122">
          <wp:simplePos x="0" y="0"/>
          <wp:positionH relativeFrom="column">
            <wp:posOffset>-406421</wp:posOffset>
          </wp:positionH>
          <wp:positionV relativeFrom="paragraph">
            <wp:posOffset>-62230</wp:posOffset>
          </wp:positionV>
          <wp:extent cx="2207816" cy="890906"/>
          <wp:effectExtent l="0" t="0" r="2540" b="0"/>
          <wp:wrapNone/>
          <wp:docPr id="2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349" cy="89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1C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3958513" wp14:editId="6A1EDDE6">
              <wp:simplePos x="0" y="0"/>
              <wp:positionH relativeFrom="column">
                <wp:posOffset>5168900</wp:posOffset>
              </wp:positionH>
              <wp:positionV relativeFrom="paragraph">
                <wp:posOffset>-38099</wp:posOffset>
              </wp:positionV>
              <wp:extent cx="1723390" cy="671195"/>
              <wp:effectExtent l="0" t="0" r="0" b="0"/>
              <wp:wrapSquare wrapText="bothSides" distT="0" distB="0" distL="114300" distR="114300"/>
              <wp:docPr id="224" name="Rectangl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3830" y="3453928"/>
                        <a:ext cx="1704340" cy="652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F9C5D" w14:textId="77777777" w:rsidR="00585EA2" w:rsidRDefault="00585EA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958513" id="Rectangle 224" o:spid="_x0000_s1026" style="position:absolute;margin-left:407pt;margin-top:-3pt;width:135.7pt;height:5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" filled="f" stroked="f">
              <v:textbox inset="0,0,0,0">
                <w:txbxContent>
                  <w:p w14:paraId="728F9C5D" w14:textId="77777777" w:rsidR="00585EA2" w:rsidRDefault="00585EA2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7121C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33C301" wp14:editId="053970C5">
              <wp:simplePos x="0" y="0"/>
              <wp:positionH relativeFrom="column">
                <wp:posOffset>-88899</wp:posOffset>
              </wp:positionH>
              <wp:positionV relativeFrom="paragraph">
                <wp:posOffset>-139699</wp:posOffset>
              </wp:positionV>
              <wp:extent cx="2323465" cy="838200"/>
              <wp:effectExtent l="0" t="0" r="0" b="0"/>
              <wp:wrapNone/>
              <wp:docPr id="223" name="Rectangle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3793" y="3370425"/>
                        <a:ext cx="230441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9EE97" w14:textId="77777777" w:rsidR="00585EA2" w:rsidRDefault="00585EA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33C301" id="Rectangle 223" o:spid="_x0000_s1027" style="position:absolute;margin-left:-7pt;margin-top:-11pt;width:182.9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" filled="f" stroked="f">
              <v:textbox inset="2.53958mm,2.53958mm,2.53958mm,2.53958mm">
                <w:txbxContent>
                  <w:p w14:paraId="5009EE97" w14:textId="77777777" w:rsidR="00585EA2" w:rsidRDefault="00585EA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0FC1369" w14:textId="72AA1D5A" w:rsidR="00585EA2" w:rsidRDefault="00585EA2">
    <w:pPr>
      <w:tabs>
        <w:tab w:val="left" w:pos="3240"/>
      </w:tabs>
      <w:ind w:right="1872"/>
      <w:rPr>
        <w:rFonts w:ascii="Arial" w:eastAsia="Arial" w:hAnsi="Arial" w:cs="Arial"/>
        <w:sz w:val="18"/>
        <w:szCs w:val="18"/>
      </w:rPr>
    </w:pPr>
  </w:p>
  <w:p w14:paraId="7181909D" w14:textId="2EAC4B1A" w:rsidR="00585EA2" w:rsidRDefault="00585EA2">
    <w:pPr>
      <w:tabs>
        <w:tab w:val="left" w:pos="3240"/>
      </w:tabs>
      <w:ind w:right="1872"/>
      <w:rPr>
        <w:rFonts w:ascii="Arial" w:eastAsia="Arial" w:hAnsi="Arial" w:cs="Arial"/>
        <w:color w:val="535352"/>
        <w:sz w:val="16"/>
        <w:szCs w:val="16"/>
      </w:rPr>
    </w:pPr>
  </w:p>
  <w:p w14:paraId="1295BF57" w14:textId="77777777" w:rsidR="00585EA2" w:rsidRDefault="00585EA2">
    <w:pPr>
      <w:tabs>
        <w:tab w:val="left" w:pos="3240"/>
      </w:tabs>
      <w:ind w:right="1872"/>
      <w:rPr>
        <w:rFonts w:ascii="Arial" w:eastAsia="Arial" w:hAnsi="Arial" w:cs="Arial"/>
        <w:color w:val="535352"/>
        <w:sz w:val="16"/>
        <w:szCs w:val="16"/>
      </w:rPr>
    </w:pPr>
  </w:p>
  <w:p w14:paraId="15DA1A17" w14:textId="09BB02D9" w:rsidR="00585EA2" w:rsidRDefault="00EB60B6">
    <w:pPr>
      <w:tabs>
        <w:tab w:val="left" w:pos="3240"/>
      </w:tabs>
      <w:ind w:right="1872"/>
      <w:rPr>
        <w:rFonts w:ascii="Arial" w:eastAsia="Arial" w:hAnsi="Arial" w:cs="Arial"/>
        <w:color w:val="535352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5BB6FFD3" wp14:editId="3A25E3CD">
              <wp:simplePos x="0" y="0"/>
              <wp:positionH relativeFrom="column">
                <wp:posOffset>2692400</wp:posOffset>
              </wp:positionH>
              <wp:positionV relativeFrom="paragraph">
                <wp:posOffset>41910</wp:posOffset>
              </wp:positionV>
              <wp:extent cx="3585845" cy="452755"/>
              <wp:effectExtent l="0" t="0" r="0" b="4445"/>
              <wp:wrapNone/>
              <wp:docPr id="225" name="Rectangle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5845" cy="452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7D3941" w14:textId="77777777" w:rsidR="00585EA2" w:rsidRDefault="007121C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67171"/>
                              <w:sz w:val="16"/>
                            </w:rPr>
                            <w:t>AGRICULTURAL LEADERSHIP, EDUCATION, AND COMMUNICATIONS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B6FFD3" id="Rectangle 225" o:spid="_x0000_s1028" style="position:absolute;margin-left:212pt;margin-top:3.3pt;width:282.35pt;height:35.6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" stroked="f">
              <v:textbox inset="2.53958mm,1.2694mm,2.53958mm,1.2694mm">
                <w:txbxContent>
                  <w:p w14:paraId="7B7D3941" w14:textId="77777777" w:rsidR="00585EA2" w:rsidRDefault="007121C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67171"/>
                        <w:sz w:val="16"/>
                      </w:rPr>
                      <w:t>AGRICULTURAL LEADERSHIP, EDUCATION, AND COMMUNICATIONS</w:t>
                    </w:r>
                  </w:p>
                </w:txbxContent>
              </v:textbox>
            </v:rect>
          </w:pict>
        </mc:Fallback>
      </mc:AlternateContent>
    </w:r>
  </w:p>
  <w:p w14:paraId="6B27A1A5" w14:textId="7E291942" w:rsidR="00585EA2" w:rsidRDefault="007121C5">
    <w:pPr>
      <w:tabs>
        <w:tab w:val="left" w:pos="3240"/>
        <w:tab w:val="left" w:pos="10800"/>
      </w:tabs>
      <w:rPr>
        <w:rFonts w:ascii="Arial" w:eastAsia="Arial" w:hAnsi="Arial" w:cs="Arial"/>
        <w:color w:val="767171"/>
        <w:sz w:val="16"/>
        <w:szCs w:val="16"/>
      </w:rPr>
    </w:pPr>
    <w:r>
      <w:rPr>
        <w:rFonts w:ascii="Arial" w:eastAsia="Arial" w:hAnsi="Arial" w:cs="Arial"/>
        <w:color w:val="767171"/>
        <w:sz w:val="16"/>
        <w:szCs w:val="16"/>
      </w:rPr>
      <w:t xml:space="preserve">     </w:t>
    </w:r>
  </w:p>
  <w:p w14:paraId="6A71271B" w14:textId="77777777" w:rsidR="00585EA2" w:rsidRDefault="00585EA2">
    <w:pPr>
      <w:tabs>
        <w:tab w:val="left" w:pos="3240"/>
        <w:tab w:val="left" w:pos="10800"/>
      </w:tabs>
      <w:jc w:val="right"/>
      <w:rPr>
        <w:rFonts w:ascii="Arial" w:eastAsia="Arial" w:hAnsi="Arial" w:cs="Arial"/>
        <w:color w:val="53535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85BA7"/>
    <w:multiLevelType w:val="hybridMultilevel"/>
    <w:tmpl w:val="C1600D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84C14"/>
    <w:multiLevelType w:val="hybridMultilevel"/>
    <w:tmpl w:val="BE6E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D2672"/>
    <w:multiLevelType w:val="hybridMultilevel"/>
    <w:tmpl w:val="31C491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9187B"/>
    <w:multiLevelType w:val="hybridMultilevel"/>
    <w:tmpl w:val="2230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3837">
    <w:abstractNumId w:val="0"/>
  </w:num>
  <w:num w:numId="2" w16cid:durableId="22099851">
    <w:abstractNumId w:val="2"/>
  </w:num>
  <w:num w:numId="3" w16cid:durableId="1988194688">
    <w:abstractNumId w:val="3"/>
  </w:num>
  <w:num w:numId="4" w16cid:durableId="147522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A2"/>
    <w:rsid w:val="000051E6"/>
    <w:rsid w:val="0002197E"/>
    <w:rsid w:val="0006584B"/>
    <w:rsid w:val="000A24DB"/>
    <w:rsid w:val="000D7BF0"/>
    <w:rsid w:val="0011065D"/>
    <w:rsid w:val="00115B5F"/>
    <w:rsid w:val="001A6270"/>
    <w:rsid w:val="0020628B"/>
    <w:rsid w:val="002C3084"/>
    <w:rsid w:val="002F4A06"/>
    <w:rsid w:val="003C0C2F"/>
    <w:rsid w:val="003F062C"/>
    <w:rsid w:val="00407DDF"/>
    <w:rsid w:val="0042018E"/>
    <w:rsid w:val="00444B8D"/>
    <w:rsid w:val="004634CE"/>
    <w:rsid w:val="005834D5"/>
    <w:rsid w:val="00585EA2"/>
    <w:rsid w:val="00586B32"/>
    <w:rsid w:val="0059597A"/>
    <w:rsid w:val="005D4A54"/>
    <w:rsid w:val="00620390"/>
    <w:rsid w:val="006853AE"/>
    <w:rsid w:val="006C0630"/>
    <w:rsid w:val="007121C5"/>
    <w:rsid w:val="007625E3"/>
    <w:rsid w:val="007B38C7"/>
    <w:rsid w:val="007C2BC9"/>
    <w:rsid w:val="007C33C2"/>
    <w:rsid w:val="00815393"/>
    <w:rsid w:val="00862508"/>
    <w:rsid w:val="00864BB7"/>
    <w:rsid w:val="008A2BAD"/>
    <w:rsid w:val="008F55DA"/>
    <w:rsid w:val="009E4324"/>
    <w:rsid w:val="00A37A60"/>
    <w:rsid w:val="00A67893"/>
    <w:rsid w:val="00A82198"/>
    <w:rsid w:val="00AA20EB"/>
    <w:rsid w:val="00AC6C4A"/>
    <w:rsid w:val="00B11676"/>
    <w:rsid w:val="00B15FB2"/>
    <w:rsid w:val="00B32041"/>
    <w:rsid w:val="00B8463D"/>
    <w:rsid w:val="00BA6897"/>
    <w:rsid w:val="00BB2467"/>
    <w:rsid w:val="00C5512F"/>
    <w:rsid w:val="00C9568D"/>
    <w:rsid w:val="00CA2A12"/>
    <w:rsid w:val="00CD146D"/>
    <w:rsid w:val="00CD7B2F"/>
    <w:rsid w:val="00CE00CE"/>
    <w:rsid w:val="00D37543"/>
    <w:rsid w:val="00D61E6B"/>
    <w:rsid w:val="00DB604C"/>
    <w:rsid w:val="00EB3C4A"/>
    <w:rsid w:val="00EB60B6"/>
    <w:rsid w:val="00EC594F"/>
    <w:rsid w:val="00ED6FE1"/>
    <w:rsid w:val="00EE369A"/>
    <w:rsid w:val="00F86067"/>
    <w:rsid w:val="00FA1842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01B8B"/>
  <w15:docId w15:val="{399AF684-41CB-438C-970F-A360F90B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E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AC64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64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E3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A3426D"/>
    <w:rPr>
      <w:color w:val="0000FF"/>
      <w:u w:val="single"/>
    </w:rPr>
  </w:style>
  <w:style w:type="table" w:styleId="TableGrid">
    <w:name w:val="Table Grid"/>
    <w:basedOn w:val="TableNormal"/>
    <w:uiPriority w:val="59"/>
    <w:rsid w:val="0078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97BD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4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1"/>
    <w:qFormat/>
    <w:rsid w:val="007625E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625E3"/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rsid w:val="000A24DB"/>
    <w:pPr>
      <w:autoSpaceDE w:val="0"/>
      <w:autoSpaceDN w:val="0"/>
      <w:adjustRightInd w:val="0"/>
    </w:pPr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7B38C7"/>
  </w:style>
  <w:style w:type="character" w:styleId="UnresolvedMention">
    <w:name w:val="Unresolved Mention"/>
    <w:basedOn w:val="DefaultParagraphFont"/>
    <w:uiPriority w:val="99"/>
    <w:semiHidden/>
    <w:unhideWhenUsed/>
    <w:rsid w:val="008A2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bruceherbert/Dropbox/Mac/Downloads/apply.interfolio.com/121746" TargetMode="External"/><Relationship Id="rId13" Type="http://schemas.openxmlformats.org/officeDocument/2006/relationships/hyperlink" Target="file:///Users/bruceherbert/Dropbox/Mac/Downloads/apply.interfolio.com/12174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ec.tamu.ed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ha.tamu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uce.Herbert@ag.tamu.edu" TargetMode="External"/><Relationship Id="rId10" Type="http://schemas.openxmlformats.org/officeDocument/2006/relationships/hyperlink" Target="https://borlaug.tamu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beralarts.tamu.edu/txrdc/" TargetMode="External"/><Relationship Id="rId14" Type="http://schemas.openxmlformats.org/officeDocument/2006/relationships/hyperlink" Target="mailto:Theresa.murphrey@ag.tamu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lec.tamu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84FXjy2NMrzXAZShzxuV6k1h3A==">AMUW2mWtBSswUvnez0oy6wi1md3RtDLHncIec3ctTCITU7bieS3aVdZm4N5RnhhGGcAbcuGqF73sqrFQ8UkxoqGzRknCPAi1zH1/6YhdnxKkB/K8xiWaHcjZA5gHJvkN1n5EB09DWLl8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Chivvis</dc:creator>
  <cp:lastModifiedBy>Herbert, Bruce E</cp:lastModifiedBy>
  <cp:revision>2</cp:revision>
  <cp:lastPrinted>2021-05-26T22:49:00Z</cp:lastPrinted>
  <dcterms:created xsi:type="dcterms:W3CDTF">2023-04-18T16:14:00Z</dcterms:created>
  <dcterms:modified xsi:type="dcterms:W3CDTF">2023-04-18T16:14:00Z</dcterms:modified>
</cp:coreProperties>
</file>